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1D860" w14:textId="626321BC" w:rsidR="009957A4" w:rsidRPr="009957A4" w:rsidRDefault="009957A4" w:rsidP="009957A4">
      <w:pPr>
        <w:rPr>
          <w:b/>
          <w:bCs/>
          <w:color w:val="00B050"/>
          <w:sz w:val="30"/>
          <w:szCs w:val="30"/>
        </w:rPr>
      </w:pPr>
      <w:r w:rsidRPr="009957A4">
        <w:rPr>
          <w:b/>
          <w:bCs/>
          <w:color w:val="C00000"/>
          <w:sz w:val="30"/>
          <w:szCs w:val="30"/>
        </w:rPr>
        <w:t>What's new in infectious diseases</w:t>
      </w:r>
      <w:r w:rsidRPr="009957A4">
        <w:rPr>
          <w:b/>
          <w:bCs/>
          <w:color w:val="C00000"/>
          <w:sz w:val="30"/>
          <w:szCs w:val="30"/>
        </w:rPr>
        <w:t xml:space="preserve">   </w:t>
      </w:r>
      <w:r w:rsidRPr="00F448A9">
        <w:rPr>
          <w:b/>
          <w:bCs/>
          <w:color w:val="00B050"/>
          <w:sz w:val="30"/>
          <w:szCs w:val="30"/>
        </w:rPr>
        <w:t>March 2025</w:t>
      </w:r>
    </w:p>
    <w:p w14:paraId="2047DC75" w14:textId="77777777" w:rsidR="00510CCB" w:rsidRDefault="00510CCB"/>
    <w:p w14:paraId="25A39D7B" w14:textId="77777777" w:rsidR="009957A4" w:rsidRPr="009957A4" w:rsidRDefault="009957A4" w:rsidP="009957A4">
      <w:r w:rsidRPr="009957A4">
        <w:rPr>
          <w:b/>
          <w:bCs/>
        </w:rPr>
        <w:t>PARASITIC INFECTIONS</w:t>
      </w:r>
    </w:p>
    <w:p w14:paraId="10DD42B1" w14:textId="77777777" w:rsidR="009957A4" w:rsidRPr="009957A4" w:rsidRDefault="009957A4" w:rsidP="009957A4">
      <w:r w:rsidRPr="009957A4">
        <w:rPr>
          <w:b/>
          <w:bCs/>
        </w:rPr>
        <w:t>Trajectory of global malaria burden between 2000 and 2022 (March 2025)</w:t>
      </w:r>
    </w:p>
    <w:p w14:paraId="13542CF6" w14:textId="77777777" w:rsidR="009957A4" w:rsidRPr="009957A4" w:rsidRDefault="009957A4" w:rsidP="009957A4">
      <w:r w:rsidRPr="009957A4">
        <w:t>Tracking malaria prevalence is important for guiding control efforts. In a study using data from 2000 to 2022, a plateau in malaria prevalence within sub-Saharan Africa was observed, with no improvement since 2015 [</w:t>
      </w:r>
      <w:hyperlink r:id="rId5" w:history="1">
        <w:r w:rsidRPr="009957A4">
          <w:rPr>
            <w:rStyle w:val="Hyperlink"/>
          </w:rPr>
          <w:t>35</w:t>
        </w:r>
      </w:hyperlink>
      <w:r w:rsidRPr="009957A4">
        <w:t>]. In 2022 there were an estimated 234.8 million cases of </w:t>
      </w:r>
      <w:r w:rsidRPr="009957A4">
        <w:rPr>
          <w:i/>
          <w:iCs/>
        </w:rPr>
        <w:t>Plasmodium falciparum </w:t>
      </w:r>
      <w:r w:rsidRPr="009957A4">
        <w:t>malaria, the most since 2004. The plateau occurred in more densely populated areas; sparser areas had a trajectory of modest improvement. Outside Africa, an outbreak in Pakistan after flooding in 2022 contributed to a global total of 12.4 million cases of </w:t>
      </w:r>
      <w:r w:rsidRPr="009957A4">
        <w:rPr>
          <w:i/>
          <w:iCs/>
        </w:rPr>
        <w:t>P. vivax </w:t>
      </w:r>
      <w:r w:rsidRPr="009957A4">
        <w:t>malaria. The study did not reflect the impact of new malaria vaccines implemented since 2022. These findings demonstrate the heterogeneity of malaria and highlight the importance of tailoring control interventions to individual geographic locations. (See </w:t>
      </w:r>
      <w:hyperlink r:id="rId6" w:anchor="H350537236" w:history="1">
        <w:r w:rsidRPr="009957A4">
          <w:rPr>
            <w:rStyle w:val="Hyperlink"/>
          </w:rPr>
          <w:t>"Malaria: Epidemiology, prevention, and elimination", section on 'Geographic distribution'</w:t>
        </w:r>
      </w:hyperlink>
      <w:r w:rsidRPr="009957A4">
        <w:t>.)</w:t>
      </w:r>
    </w:p>
    <w:p w14:paraId="2D0E3E82" w14:textId="77777777" w:rsidR="009957A4" w:rsidRPr="009957A4" w:rsidRDefault="009957A4" w:rsidP="009957A4">
      <w:r w:rsidRPr="009957A4">
        <w:rPr>
          <w:b/>
          <w:bCs/>
        </w:rPr>
        <w:t>VIRAL INFECTIONS, NON-HIV</w:t>
      </w:r>
    </w:p>
    <w:p w14:paraId="1680DE97" w14:textId="77777777" w:rsidR="009957A4" w:rsidRPr="009957A4" w:rsidRDefault="009957A4" w:rsidP="009957A4">
      <w:r w:rsidRPr="009957A4">
        <w:rPr>
          <w:b/>
          <w:bCs/>
        </w:rPr>
        <w:t>Mpox in Central and East Africa (March 2025)</w:t>
      </w:r>
    </w:p>
    <w:p w14:paraId="68E806C4" w14:textId="77777777" w:rsidR="009957A4" w:rsidRPr="009957A4" w:rsidRDefault="009957A4" w:rsidP="009957A4">
      <w:r w:rsidRPr="009957A4">
        <w:t>Mpox is an increasing cause of morbidity and mortality in Central and East Africa. In one report, the annual incidence in the Democratic Republic of the Congo (DRC) increased between 2010 to 2023 from approximately 3 to 11 cases per 100,000 people [</w:t>
      </w:r>
      <w:hyperlink r:id="rId7" w:history="1">
        <w:r w:rsidRPr="009957A4">
          <w:rPr>
            <w:rStyle w:val="Hyperlink"/>
          </w:rPr>
          <w:t>40</w:t>
        </w:r>
      </w:hyperlink>
      <w:r w:rsidRPr="009957A4">
        <w:t>]. From January to August 2024, 21,786 laboratory-confirmed mpox cases leading to 607 deaths were reported from 12 African countries [</w:t>
      </w:r>
      <w:hyperlink r:id="rId8" w:history="1">
        <w:r w:rsidRPr="009957A4">
          <w:rPr>
            <w:rStyle w:val="Hyperlink"/>
          </w:rPr>
          <w:t>41</w:t>
        </w:r>
      </w:hyperlink>
      <w:r w:rsidRPr="009957A4">
        <w:t>]. Although the vast majority of these cases were in the DRC, cases were also reported in neighboring countries, including the previously nonendemic countries of Burundi, Rwanda, and Uganda. These findings support ongoing efforts (public health measures, vaccination) to reduce the continued spread of mpox. (See </w:t>
      </w:r>
      <w:hyperlink r:id="rId9" w:anchor="H863172143" w:history="1">
        <w:r w:rsidRPr="009957A4">
          <w:rPr>
            <w:rStyle w:val="Hyperlink"/>
          </w:rPr>
          <w:t>"Epidemiology, clinical manifestations, and diagnosis of mpox (formerly monkeypox)", section on 'Outbreak in Central and East Africa starting in 2023'</w:t>
        </w:r>
      </w:hyperlink>
      <w:r w:rsidRPr="009957A4">
        <w:t>.)</w:t>
      </w:r>
    </w:p>
    <w:p w14:paraId="4B14FB66" w14:textId="77777777" w:rsidR="009957A4" w:rsidRDefault="009957A4"/>
    <w:sectPr w:rsidR="009957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75ABD"/>
    <w:multiLevelType w:val="multilevel"/>
    <w:tmpl w:val="7C9A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9307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7A4"/>
    <w:rsid w:val="000B1565"/>
    <w:rsid w:val="00313F44"/>
    <w:rsid w:val="004B5628"/>
    <w:rsid w:val="00510CCB"/>
    <w:rsid w:val="008D0060"/>
    <w:rsid w:val="009957A4"/>
    <w:rsid w:val="00E577A7"/>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C515E"/>
  <w15:chartTrackingRefBased/>
  <w15:docId w15:val="{0261ECAA-AE4A-4D57-8332-617B0C5D5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57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957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957A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957A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957A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957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57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57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57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7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957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957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957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957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957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57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57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57A4"/>
    <w:rPr>
      <w:rFonts w:eastAsiaTheme="majorEastAsia" w:cstheme="majorBidi"/>
      <w:color w:val="272727" w:themeColor="text1" w:themeTint="D8"/>
    </w:rPr>
  </w:style>
  <w:style w:type="paragraph" w:styleId="Title">
    <w:name w:val="Title"/>
    <w:basedOn w:val="Normal"/>
    <w:next w:val="Normal"/>
    <w:link w:val="TitleChar"/>
    <w:uiPriority w:val="10"/>
    <w:qFormat/>
    <w:rsid w:val="009957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57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57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57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57A4"/>
    <w:pPr>
      <w:spacing w:before="160"/>
      <w:jc w:val="center"/>
    </w:pPr>
    <w:rPr>
      <w:i/>
      <w:iCs/>
      <w:color w:val="404040" w:themeColor="text1" w:themeTint="BF"/>
    </w:rPr>
  </w:style>
  <w:style w:type="character" w:customStyle="1" w:styleId="QuoteChar">
    <w:name w:val="Quote Char"/>
    <w:basedOn w:val="DefaultParagraphFont"/>
    <w:link w:val="Quote"/>
    <w:uiPriority w:val="29"/>
    <w:rsid w:val="009957A4"/>
    <w:rPr>
      <w:i/>
      <w:iCs/>
      <w:color w:val="404040" w:themeColor="text1" w:themeTint="BF"/>
    </w:rPr>
  </w:style>
  <w:style w:type="paragraph" w:styleId="ListParagraph">
    <w:name w:val="List Paragraph"/>
    <w:basedOn w:val="Normal"/>
    <w:uiPriority w:val="34"/>
    <w:qFormat/>
    <w:rsid w:val="009957A4"/>
    <w:pPr>
      <w:ind w:left="720"/>
      <w:contextualSpacing/>
    </w:pPr>
  </w:style>
  <w:style w:type="character" w:styleId="IntenseEmphasis">
    <w:name w:val="Intense Emphasis"/>
    <w:basedOn w:val="DefaultParagraphFont"/>
    <w:uiPriority w:val="21"/>
    <w:qFormat/>
    <w:rsid w:val="009957A4"/>
    <w:rPr>
      <w:i/>
      <w:iCs/>
      <w:color w:val="2F5496" w:themeColor="accent1" w:themeShade="BF"/>
    </w:rPr>
  </w:style>
  <w:style w:type="paragraph" w:styleId="IntenseQuote">
    <w:name w:val="Intense Quote"/>
    <w:basedOn w:val="Normal"/>
    <w:next w:val="Normal"/>
    <w:link w:val="IntenseQuoteChar"/>
    <w:uiPriority w:val="30"/>
    <w:qFormat/>
    <w:rsid w:val="009957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957A4"/>
    <w:rPr>
      <w:i/>
      <w:iCs/>
      <w:color w:val="2F5496" w:themeColor="accent1" w:themeShade="BF"/>
    </w:rPr>
  </w:style>
  <w:style w:type="character" w:styleId="IntenseReference">
    <w:name w:val="Intense Reference"/>
    <w:basedOn w:val="DefaultParagraphFont"/>
    <w:uiPriority w:val="32"/>
    <w:qFormat/>
    <w:rsid w:val="009957A4"/>
    <w:rPr>
      <w:b/>
      <w:bCs/>
      <w:smallCaps/>
      <w:color w:val="2F5496" w:themeColor="accent1" w:themeShade="BF"/>
      <w:spacing w:val="5"/>
    </w:rPr>
  </w:style>
  <w:style w:type="character" w:styleId="Hyperlink">
    <w:name w:val="Hyperlink"/>
    <w:basedOn w:val="DefaultParagraphFont"/>
    <w:uiPriority w:val="99"/>
    <w:unhideWhenUsed/>
    <w:rsid w:val="009957A4"/>
    <w:rPr>
      <w:color w:val="0563C1" w:themeColor="hyperlink"/>
      <w:u w:val="single"/>
    </w:rPr>
  </w:style>
  <w:style w:type="character" w:styleId="UnresolvedMention">
    <w:name w:val="Unresolved Mention"/>
    <w:basedOn w:val="DefaultParagraphFont"/>
    <w:uiPriority w:val="99"/>
    <w:semiHidden/>
    <w:unhideWhenUsed/>
    <w:rsid w:val="009957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84076">
      <w:bodyDiv w:val="1"/>
      <w:marLeft w:val="0"/>
      <w:marRight w:val="0"/>
      <w:marTop w:val="0"/>
      <w:marBottom w:val="0"/>
      <w:divBdr>
        <w:top w:val="none" w:sz="0" w:space="0" w:color="auto"/>
        <w:left w:val="none" w:sz="0" w:space="0" w:color="auto"/>
        <w:bottom w:val="none" w:sz="0" w:space="0" w:color="auto"/>
        <w:right w:val="none" w:sz="0" w:space="0" w:color="auto"/>
      </w:divBdr>
    </w:div>
    <w:div w:id="587353581">
      <w:bodyDiv w:val="1"/>
      <w:marLeft w:val="0"/>
      <w:marRight w:val="0"/>
      <w:marTop w:val="0"/>
      <w:marBottom w:val="0"/>
      <w:divBdr>
        <w:top w:val="none" w:sz="0" w:space="0" w:color="auto"/>
        <w:left w:val="none" w:sz="0" w:space="0" w:color="auto"/>
        <w:bottom w:val="none" w:sz="0" w:space="0" w:color="auto"/>
        <w:right w:val="none" w:sz="0" w:space="0" w:color="auto"/>
      </w:divBdr>
    </w:div>
    <w:div w:id="771128824">
      <w:bodyDiv w:val="1"/>
      <w:marLeft w:val="0"/>
      <w:marRight w:val="0"/>
      <w:marTop w:val="0"/>
      <w:marBottom w:val="0"/>
      <w:divBdr>
        <w:top w:val="none" w:sz="0" w:space="0" w:color="auto"/>
        <w:left w:val="none" w:sz="0" w:space="0" w:color="auto"/>
        <w:bottom w:val="none" w:sz="0" w:space="0" w:color="auto"/>
        <w:right w:val="none" w:sz="0" w:space="0" w:color="auto"/>
      </w:divBdr>
      <w:divsChild>
        <w:div w:id="288704659">
          <w:marLeft w:val="0"/>
          <w:marRight w:val="0"/>
          <w:marTop w:val="0"/>
          <w:marBottom w:val="0"/>
          <w:divBdr>
            <w:top w:val="none" w:sz="0" w:space="0" w:color="auto"/>
            <w:left w:val="none" w:sz="0" w:space="0" w:color="auto"/>
            <w:bottom w:val="single" w:sz="6" w:space="0" w:color="DADADA"/>
            <w:right w:val="none" w:sz="0" w:space="0" w:color="auto"/>
          </w:divBdr>
          <w:divsChild>
            <w:div w:id="1073041771">
              <w:marLeft w:val="0"/>
              <w:marRight w:val="3225"/>
              <w:marTop w:val="0"/>
              <w:marBottom w:val="0"/>
              <w:divBdr>
                <w:top w:val="none" w:sz="0" w:space="0" w:color="auto"/>
                <w:left w:val="none" w:sz="0" w:space="0" w:color="auto"/>
                <w:bottom w:val="none" w:sz="0" w:space="0" w:color="auto"/>
                <w:right w:val="none" w:sz="0" w:space="0" w:color="auto"/>
              </w:divBdr>
            </w:div>
          </w:divsChild>
        </w:div>
        <w:div w:id="538979626">
          <w:marLeft w:val="0"/>
          <w:marRight w:val="0"/>
          <w:marTop w:val="0"/>
          <w:marBottom w:val="0"/>
          <w:divBdr>
            <w:top w:val="none" w:sz="0" w:space="0" w:color="auto"/>
            <w:left w:val="none" w:sz="0" w:space="0" w:color="auto"/>
            <w:bottom w:val="none" w:sz="0" w:space="0" w:color="auto"/>
            <w:right w:val="none" w:sz="0" w:space="0" w:color="auto"/>
          </w:divBdr>
        </w:div>
      </w:divsChild>
    </w:div>
    <w:div w:id="777261985">
      <w:bodyDiv w:val="1"/>
      <w:marLeft w:val="0"/>
      <w:marRight w:val="0"/>
      <w:marTop w:val="0"/>
      <w:marBottom w:val="0"/>
      <w:divBdr>
        <w:top w:val="none" w:sz="0" w:space="0" w:color="auto"/>
        <w:left w:val="none" w:sz="0" w:space="0" w:color="auto"/>
        <w:bottom w:val="none" w:sz="0" w:space="0" w:color="auto"/>
        <w:right w:val="none" w:sz="0" w:space="0" w:color="auto"/>
      </w:divBdr>
    </w:div>
    <w:div w:id="833422606">
      <w:bodyDiv w:val="1"/>
      <w:marLeft w:val="0"/>
      <w:marRight w:val="0"/>
      <w:marTop w:val="0"/>
      <w:marBottom w:val="0"/>
      <w:divBdr>
        <w:top w:val="none" w:sz="0" w:space="0" w:color="auto"/>
        <w:left w:val="none" w:sz="0" w:space="0" w:color="auto"/>
        <w:bottom w:val="none" w:sz="0" w:space="0" w:color="auto"/>
        <w:right w:val="none" w:sz="0" w:space="0" w:color="auto"/>
      </w:divBdr>
      <w:divsChild>
        <w:div w:id="1136294550">
          <w:marLeft w:val="0"/>
          <w:marRight w:val="0"/>
          <w:marTop w:val="0"/>
          <w:marBottom w:val="0"/>
          <w:divBdr>
            <w:top w:val="none" w:sz="0" w:space="0" w:color="auto"/>
            <w:left w:val="none" w:sz="0" w:space="0" w:color="auto"/>
            <w:bottom w:val="single" w:sz="6" w:space="0" w:color="DADADA"/>
            <w:right w:val="none" w:sz="0" w:space="0" w:color="auto"/>
          </w:divBdr>
          <w:divsChild>
            <w:div w:id="1106268921">
              <w:marLeft w:val="0"/>
              <w:marRight w:val="3225"/>
              <w:marTop w:val="0"/>
              <w:marBottom w:val="0"/>
              <w:divBdr>
                <w:top w:val="none" w:sz="0" w:space="0" w:color="auto"/>
                <w:left w:val="none" w:sz="0" w:space="0" w:color="auto"/>
                <w:bottom w:val="none" w:sz="0" w:space="0" w:color="auto"/>
                <w:right w:val="none" w:sz="0" w:space="0" w:color="auto"/>
              </w:divBdr>
            </w:div>
          </w:divsChild>
        </w:div>
        <w:div w:id="869606944">
          <w:marLeft w:val="0"/>
          <w:marRight w:val="0"/>
          <w:marTop w:val="0"/>
          <w:marBottom w:val="0"/>
          <w:divBdr>
            <w:top w:val="none" w:sz="0" w:space="0" w:color="auto"/>
            <w:left w:val="none" w:sz="0" w:space="0" w:color="auto"/>
            <w:bottom w:val="none" w:sz="0" w:space="0" w:color="auto"/>
            <w:right w:val="none" w:sz="0" w:space="0" w:color="auto"/>
          </w:divBdr>
        </w:div>
      </w:divsChild>
    </w:div>
    <w:div w:id="148381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whats-new-in-infectious-diseases/abstract/41" TargetMode="External"/><Relationship Id="rId3" Type="http://schemas.openxmlformats.org/officeDocument/2006/relationships/settings" Target="settings.xml"/><Relationship Id="rId7" Type="http://schemas.openxmlformats.org/officeDocument/2006/relationships/hyperlink" Target="https://www4.utdos.ir/contents/whats-new-in-infectious-diseases/abstract/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4.utdos.ir/contents/malaria-epidemiology-prevention-and-elimination?sectionName=Geographic%20distribution&amp;topicRef=8358&amp;anchor=H350537236&amp;source=see_link" TargetMode="External"/><Relationship Id="rId11" Type="http://schemas.openxmlformats.org/officeDocument/2006/relationships/theme" Target="theme/theme1.xml"/><Relationship Id="rId5" Type="http://schemas.openxmlformats.org/officeDocument/2006/relationships/hyperlink" Target="https://www4.utdos.ir/contents/whats-new-in-infectious-diseases/abstract/3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4.utdos.ir/contents/epidemiology-clinical-manifestations-and-diagnosis-of-mpox-formerly-monkeypox?sectionName=Outbreak%20in%20Central%20and%20East%20Africa%20starting%20in%202023&amp;topicRef=8358&amp;anchor=H863172143&amp;source=se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2025-03-30T06:27:00Z</dcterms:created>
  <dcterms:modified xsi:type="dcterms:W3CDTF">2025-03-30T06:29:00Z</dcterms:modified>
</cp:coreProperties>
</file>